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6EC" w:rsidRDefault="00B45532">
      <w:pPr>
        <w:spacing w:line="360" w:lineRule="auto"/>
        <w:jc w:val="center"/>
        <w:textAlignment w:val="center"/>
      </w:pPr>
      <w:r>
        <w:rPr>
          <w:rFonts w:ascii="宋体" w:hAnsi="宋体"/>
          <w:b/>
          <w:noProof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11811000</wp:posOffset>
            </wp:positionH>
            <wp:positionV relativeFrom="topMargin">
              <wp:posOffset>11607800</wp:posOffset>
            </wp:positionV>
            <wp:extent cx="330200" cy="469900"/>
            <wp:effectExtent l="0" t="0" r="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noProof/>
          <w:sz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11125200</wp:posOffset>
            </wp:positionV>
            <wp:extent cx="254000" cy="431800"/>
            <wp:effectExtent l="0" t="0" r="0" b="0"/>
            <wp:wrapNone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6"/>
        </w:rPr>
        <w:t>参考答案</w:t>
      </w:r>
    </w:p>
    <w:p w:rsidR="001046EC" w:rsidRDefault="00B45532">
      <w:pPr>
        <w:spacing w:line="360" w:lineRule="auto"/>
        <w:jc w:val="center"/>
        <w:textAlignment w:val="center"/>
      </w:pPr>
      <w:r>
        <w:rPr>
          <w:rFonts w:eastAsia="Times New Roman" w:cs="Times New Roman"/>
          <w:b/>
          <w:sz w:val="32"/>
        </w:rPr>
        <w:t>2026</w:t>
      </w:r>
      <w:r>
        <w:rPr>
          <w:rFonts w:ascii="宋体" w:hAnsi="宋体"/>
          <w:b/>
          <w:sz w:val="32"/>
        </w:rPr>
        <w:t>年普通高中学业水平选择性考试（湖南卷）</w:t>
      </w:r>
    </w:p>
    <w:p w:rsidR="001046EC" w:rsidRDefault="00B45532">
      <w:pPr>
        <w:spacing w:line="360" w:lineRule="auto"/>
        <w:jc w:val="center"/>
        <w:textAlignment w:val="center"/>
      </w:pPr>
      <w:r>
        <w:rPr>
          <w:rFonts w:ascii="宋体" w:hAnsi="宋体"/>
          <w:b/>
          <w:sz w:val="32"/>
        </w:rPr>
        <w:t>生物学</w:t>
      </w:r>
    </w:p>
    <w:p w:rsidR="001046EC" w:rsidRDefault="00B45532">
      <w:pPr>
        <w:spacing w:line="360" w:lineRule="auto"/>
        <w:jc w:val="center"/>
        <w:textAlignment w:val="center"/>
      </w:pPr>
      <w:r>
        <w:rPr>
          <w:rFonts w:ascii="宋体" w:hAnsi="宋体"/>
          <w:b/>
          <w:sz w:val="24"/>
        </w:rPr>
        <w:t>本试卷满分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分，考试时间</w:t>
      </w:r>
      <w:r>
        <w:rPr>
          <w:rFonts w:eastAsia="Times New Roman" w:cs="Times New Roman"/>
          <w:b/>
          <w:sz w:val="24"/>
        </w:rPr>
        <w:t>75</w:t>
      </w:r>
      <w:r>
        <w:rPr>
          <w:rFonts w:ascii="宋体" w:hAnsi="宋体"/>
          <w:b/>
          <w:sz w:val="24"/>
        </w:rPr>
        <w:t>分钟</w:t>
      </w:r>
    </w:p>
    <w:p w:rsidR="001046EC" w:rsidRDefault="00B45532">
      <w:pPr>
        <w:spacing w:line="360" w:lineRule="auto"/>
        <w:textAlignment w:val="center"/>
      </w:pPr>
      <w:r>
        <w:rPr>
          <w:rFonts w:ascii="宋体" w:hAnsi="宋体"/>
          <w:b/>
          <w:sz w:val="24"/>
        </w:rPr>
        <w:t>一、选择题：本题共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24</w:t>
      </w:r>
      <w:r>
        <w:rPr>
          <w:rFonts w:ascii="宋体" w:hAnsi="宋体"/>
          <w:b/>
          <w:sz w:val="24"/>
        </w:rPr>
        <w:t>分。在每小题给出的四个选项中，只有一项是符合题目要求的。</w:t>
      </w:r>
    </w:p>
    <w:tbl>
      <w:tblPr>
        <w:tblW w:w="8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25"/>
        <w:gridCol w:w="825"/>
        <w:gridCol w:w="825"/>
        <w:gridCol w:w="825"/>
        <w:gridCol w:w="825"/>
        <w:gridCol w:w="825"/>
        <w:gridCol w:w="825"/>
        <w:gridCol w:w="825"/>
        <w:gridCol w:w="825"/>
        <w:gridCol w:w="825"/>
      </w:tblGrid>
      <w:tr w:rsidR="001046EC"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B45532">
            <w:pPr>
              <w:spacing w:line="360" w:lineRule="auto"/>
              <w:jc w:val="left"/>
              <w:textAlignment w:val="center"/>
            </w:pPr>
            <w:r>
              <w:t>1.</w:t>
            </w:r>
            <w:r w:rsidRPr="00BE1BCD">
              <w:t>A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B45532">
            <w:pPr>
              <w:spacing w:line="360" w:lineRule="auto"/>
              <w:jc w:val="left"/>
              <w:textAlignment w:val="center"/>
            </w:pPr>
            <w:r>
              <w:t>2.</w:t>
            </w:r>
            <w:r w:rsidRPr="00BE1BCD">
              <w:t>C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B45532">
            <w:pPr>
              <w:spacing w:line="360" w:lineRule="auto"/>
              <w:jc w:val="left"/>
              <w:textAlignment w:val="center"/>
            </w:pPr>
            <w:r>
              <w:t>3.</w:t>
            </w:r>
            <w:r w:rsidRPr="00BE1BCD">
              <w:t>B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B45532">
            <w:pPr>
              <w:spacing w:line="360" w:lineRule="auto"/>
              <w:jc w:val="left"/>
              <w:textAlignment w:val="center"/>
            </w:pPr>
            <w:r>
              <w:t>4.</w:t>
            </w:r>
            <w:r w:rsidRPr="00BE1BCD">
              <w:t>C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B45532">
            <w:pPr>
              <w:spacing w:line="360" w:lineRule="auto"/>
              <w:jc w:val="left"/>
              <w:textAlignment w:val="center"/>
            </w:pPr>
            <w:r>
              <w:t>5.</w:t>
            </w:r>
            <w:r w:rsidRPr="00BE1BCD">
              <w:t>B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B45532">
            <w:pPr>
              <w:spacing w:line="360" w:lineRule="auto"/>
              <w:jc w:val="left"/>
              <w:textAlignment w:val="center"/>
            </w:pPr>
            <w:r>
              <w:t>6.</w:t>
            </w:r>
            <w:r w:rsidRPr="00BE1BCD">
              <w:t>B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B45532">
            <w:pPr>
              <w:spacing w:line="360" w:lineRule="auto"/>
              <w:jc w:val="left"/>
              <w:textAlignment w:val="center"/>
            </w:pPr>
            <w:r>
              <w:t>7.</w:t>
            </w:r>
            <w:r w:rsidRPr="00BE1BCD">
              <w:t>B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B45532">
            <w:pPr>
              <w:spacing w:line="360" w:lineRule="auto"/>
              <w:jc w:val="left"/>
              <w:textAlignment w:val="center"/>
            </w:pPr>
            <w:r>
              <w:t>8.</w:t>
            </w:r>
            <w:r w:rsidRPr="00BE1BCD">
              <w:t>D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B45532">
            <w:pPr>
              <w:spacing w:line="360" w:lineRule="auto"/>
              <w:jc w:val="left"/>
              <w:textAlignment w:val="center"/>
            </w:pPr>
            <w:r>
              <w:t>9.</w:t>
            </w:r>
            <w:r w:rsidRPr="00BE1BCD">
              <w:t>A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B45532">
            <w:pPr>
              <w:spacing w:line="360" w:lineRule="auto"/>
              <w:jc w:val="left"/>
              <w:textAlignment w:val="center"/>
            </w:pPr>
            <w:r>
              <w:t>10.</w:t>
            </w:r>
            <w:r w:rsidRPr="00BE1BCD">
              <w:t>C</w:t>
            </w:r>
          </w:p>
        </w:tc>
      </w:tr>
      <w:tr w:rsidR="001046EC"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B45532">
            <w:pPr>
              <w:spacing w:line="360" w:lineRule="auto"/>
              <w:jc w:val="left"/>
              <w:textAlignment w:val="center"/>
            </w:pPr>
            <w:r>
              <w:t>11.</w:t>
            </w:r>
            <w:r w:rsidRPr="00BE1BCD">
              <w:t>D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B45532">
            <w:pPr>
              <w:spacing w:line="360" w:lineRule="auto"/>
              <w:jc w:val="left"/>
              <w:textAlignment w:val="center"/>
            </w:pPr>
            <w:r>
              <w:t>12.</w:t>
            </w:r>
            <w:r w:rsidRPr="00BE1BCD">
              <w:t>D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1046EC">
            <w:pPr>
              <w:spacing w:line="360" w:lineRule="auto"/>
              <w:jc w:val="left"/>
              <w:textAlignment w:val="center"/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1046EC">
            <w:pPr>
              <w:spacing w:line="360" w:lineRule="auto"/>
              <w:jc w:val="left"/>
              <w:textAlignment w:val="center"/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1046EC">
            <w:pPr>
              <w:spacing w:line="360" w:lineRule="auto"/>
              <w:jc w:val="left"/>
              <w:textAlignment w:val="center"/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1046EC">
            <w:pPr>
              <w:spacing w:line="360" w:lineRule="auto"/>
              <w:jc w:val="left"/>
              <w:textAlignment w:val="center"/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1046EC">
            <w:pPr>
              <w:spacing w:line="360" w:lineRule="auto"/>
              <w:jc w:val="left"/>
              <w:textAlignment w:val="center"/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1046EC">
            <w:pPr>
              <w:spacing w:line="360" w:lineRule="auto"/>
              <w:jc w:val="left"/>
              <w:textAlignment w:val="center"/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1046EC">
            <w:pPr>
              <w:spacing w:line="360" w:lineRule="auto"/>
              <w:jc w:val="left"/>
              <w:textAlignment w:val="center"/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1046EC">
            <w:pPr>
              <w:spacing w:line="360" w:lineRule="auto"/>
              <w:jc w:val="left"/>
              <w:textAlignment w:val="center"/>
            </w:pPr>
          </w:p>
        </w:tc>
      </w:tr>
    </w:tbl>
    <w:p w:rsidR="001046EC" w:rsidRDefault="00B45532">
      <w:pPr>
        <w:spacing w:line="360" w:lineRule="auto"/>
        <w:textAlignment w:val="center"/>
      </w:pPr>
      <w:r>
        <w:rPr>
          <w:rFonts w:ascii="宋体" w:hAnsi="宋体"/>
          <w:b/>
          <w:sz w:val="24"/>
        </w:rPr>
        <w:t>二、选择题：本题共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16</w:t>
      </w:r>
      <w:r>
        <w:rPr>
          <w:rFonts w:ascii="宋体" w:hAnsi="宋体"/>
          <w:b/>
          <w:sz w:val="24"/>
        </w:rPr>
        <w:t>分。在每小题给出的四个选项中，有一项或多项符合题目要求。全部选对的得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分，选对但不全的得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分，有选错的得</w:t>
      </w:r>
      <w:r>
        <w:rPr>
          <w:rFonts w:eastAsia="Times New Roman" w:cs="Times New Roman"/>
          <w:b/>
          <w:sz w:val="24"/>
        </w:rPr>
        <w:t>0</w:t>
      </w:r>
      <w:r>
        <w:rPr>
          <w:rFonts w:ascii="宋体" w:hAnsi="宋体"/>
          <w:b/>
          <w:sz w:val="24"/>
        </w:rPr>
        <w:t>分。</w:t>
      </w:r>
    </w:p>
    <w:tbl>
      <w:tblPr>
        <w:tblW w:w="8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650"/>
        <w:gridCol w:w="1650"/>
        <w:gridCol w:w="1650"/>
        <w:gridCol w:w="1650"/>
        <w:gridCol w:w="1650"/>
      </w:tblGrid>
      <w:tr w:rsidR="001046EC"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B45532">
            <w:pPr>
              <w:spacing w:line="360" w:lineRule="auto"/>
              <w:jc w:val="left"/>
              <w:textAlignment w:val="center"/>
            </w:pPr>
            <w:r>
              <w:t>13.</w:t>
            </w:r>
            <w:r w:rsidRPr="00BE1BCD">
              <w:t>AB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B45532">
            <w:pPr>
              <w:spacing w:line="360" w:lineRule="auto"/>
              <w:jc w:val="left"/>
              <w:textAlignment w:val="center"/>
            </w:pPr>
            <w:r>
              <w:t>14.</w:t>
            </w:r>
            <w:r w:rsidRPr="00BE1BCD">
              <w:t>CD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B45532">
            <w:pPr>
              <w:spacing w:line="360" w:lineRule="auto"/>
              <w:jc w:val="left"/>
              <w:textAlignment w:val="center"/>
            </w:pPr>
            <w:r>
              <w:t>15.</w:t>
            </w:r>
            <w:r w:rsidRPr="00BE1BCD">
              <w:t>ACD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B45532">
            <w:pPr>
              <w:spacing w:line="360" w:lineRule="auto"/>
              <w:jc w:val="left"/>
              <w:textAlignment w:val="center"/>
            </w:pPr>
            <w:r>
              <w:t>16.</w:t>
            </w:r>
            <w:r w:rsidRPr="00BE1BCD">
              <w:t>BCD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1046EC" w:rsidRDefault="001046EC">
            <w:pPr>
              <w:spacing w:line="360" w:lineRule="auto"/>
              <w:jc w:val="left"/>
              <w:textAlignment w:val="center"/>
            </w:pPr>
          </w:p>
        </w:tc>
      </w:tr>
    </w:tbl>
    <w:p w:rsidR="001046EC" w:rsidRDefault="00B45532">
      <w:pPr>
        <w:spacing w:line="360" w:lineRule="auto"/>
        <w:textAlignment w:val="center"/>
      </w:pPr>
      <w:r>
        <w:rPr>
          <w:rFonts w:ascii="宋体" w:hAnsi="宋体"/>
          <w:b/>
          <w:sz w:val="24"/>
        </w:rPr>
        <w:t>三、非选择题：本题共</w:t>
      </w: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小题，共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分。</w:t>
      </w:r>
    </w:p>
    <w:p w:rsidR="001046EC" w:rsidRDefault="00B45532">
      <w:pPr>
        <w:spacing w:line="360" w:lineRule="auto"/>
        <w:jc w:val="left"/>
        <w:textAlignment w:val="center"/>
      </w:pPr>
      <w:r>
        <w:t>17.</w:t>
      </w:r>
      <w:r w:rsidRPr="00BE1BCD">
        <w:t>（</w:t>
      </w:r>
      <w:r w:rsidRPr="00BE1BCD">
        <w:t>1</w:t>
      </w:r>
      <w:r w:rsidRPr="00BE1BCD">
        <w:t>）</w:t>
      </w:r>
      <w:r>
        <w:t>红光和蓝紫光</w:t>
      </w:r>
      <w:r w:rsidRPr="00BE1BCD">
        <w:t xml:space="preserve">    </w:t>
      </w:r>
      <w:r w:rsidRPr="00BE1BCD">
        <w:t xml:space="preserve"> </w:t>
      </w:r>
      <w:r>
        <w:t>作为还原剂、提供能量</w:t>
      </w:r>
      <w:r w:rsidRPr="00BE1BCD">
        <w:t xml:space="preserve">    </w:t>
      </w:r>
    </w:p>
    <w:p w:rsidR="001046EC" w:rsidRDefault="00B45532">
      <w:pPr>
        <w:spacing w:line="360" w:lineRule="auto"/>
        <w:jc w:val="left"/>
        <w:textAlignment w:val="center"/>
      </w:pPr>
      <w:r w:rsidRPr="00BE1BCD">
        <w:t>（</w:t>
      </w:r>
      <w:r w:rsidRPr="00BE1BCD">
        <w:t>2</w:t>
      </w:r>
      <w:r w:rsidRPr="00BE1BCD">
        <w:t>）</w:t>
      </w:r>
      <w:r>
        <w:t>盐碱胁迫使叶片叶绿素含量降低，吸收光能减少，光反应速率减弱；同时细胞内</w:t>
      </w:r>
      <w:r>
        <w:t>H</w:t>
      </w:r>
      <w:r w:rsidRPr="00BE1BCD">
        <w:rPr>
          <w:vertAlign w:val="subscript"/>
        </w:rPr>
        <w:t>2</w:t>
      </w:r>
      <w:r>
        <w:t>O</w:t>
      </w:r>
      <w:r w:rsidRPr="00BE1BCD">
        <w:rPr>
          <w:vertAlign w:val="subscript"/>
        </w:rPr>
        <w:t>2</w:t>
      </w:r>
      <w:r>
        <w:t>积累，造成生物膜氧化损伤，叶绿体结构受损，净光合速率下降</w:t>
      </w:r>
      <w:r w:rsidRPr="00BE1BCD">
        <w:t xml:space="preserve">    </w:t>
      </w:r>
    </w:p>
    <w:p w:rsidR="00142D2F" w:rsidRDefault="00B45532">
      <w:pPr>
        <w:spacing w:line="360" w:lineRule="auto"/>
        <w:jc w:val="left"/>
        <w:textAlignment w:val="center"/>
      </w:pPr>
      <w:r w:rsidRPr="00BE1BCD">
        <w:t>（</w:t>
      </w:r>
      <w:r w:rsidRPr="00BE1BCD">
        <w:t>3</w:t>
      </w:r>
      <w:r w:rsidRPr="00BE1BCD">
        <w:t>）</w:t>
      </w:r>
      <w:r>
        <w:t>②④</w:t>
      </w:r>
      <w:r w:rsidRPr="00BE1BCD">
        <w:t xml:space="preserve"> </w:t>
      </w:r>
    </w:p>
    <w:p w:rsidR="001046EC" w:rsidRDefault="00B45532">
      <w:pPr>
        <w:spacing w:line="360" w:lineRule="auto"/>
        <w:jc w:val="left"/>
        <w:textAlignment w:val="center"/>
      </w:pPr>
      <w:r w:rsidRPr="00BE1BCD">
        <w:t>（</w:t>
      </w:r>
      <w:r w:rsidRPr="00BE1BCD">
        <w:t>4</w:t>
      </w:r>
      <w:r w:rsidRPr="00BE1BCD">
        <w:t>）</w:t>
      </w:r>
      <w:r>
        <w:t>盐碱胁迫下，细胞需消耗更多能量用于排钠、区隔钠离子，用于细胞生长、有机物合成的能量减少；同时呼吸总消耗增加，有机物积累量下降，最终生物量减少</w:t>
      </w:r>
    </w:p>
    <w:p w:rsidR="001046EC" w:rsidRDefault="00B45532">
      <w:pPr>
        <w:spacing w:line="360" w:lineRule="auto"/>
        <w:jc w:val="left"/>
        <w:textAlignment w:val="center"/>
      </w:pPr>
      <w:r>
        <w:t>18.</w:t>
      </w:r>
      <w:r w:rsidRPr="00BE1BCD">
        <w:t>（</w:t>
      </w:r>
      <w:r w:rsidRPr="00BE1BCD">
        <w:t>1</w:t>
      </w:r>
      <w:r w:rsidRPr="00BE1BCD">
        <w:t>）</w:t>
      </w:r>
      <w:r>
        <w:t>取样器取样法</w:t>
      </w:r>
      <w:r w:rsidRPr="00BE1BCD">
        <w:t xml:space="preserve">    </w:t>
      </w:r>
      <w:r w:rsidRPr="00BE1BCD">
        <w:t xml:space="preserve"> </w:t>
      </w:r>
      <w:r>
        <w:t>取并集</w:t>
      </w:r>
      <w:r w:rsidRPr="00BE1BCD">
        <w:t xml:space="preserve">    </w:t>
      </w:r>
    </w:p>
    <w:p w:rsidR="001046EC" w:rsidRDefault="00B45532">
      <w:pPr>
        <w:spacing w:line="360" w:lineRule="auto"/>
        <w:jc w:val="left"/>
        <w:textAlignment w:val="center"/>
      </w:pPr>
      <w:r w:rsidRPr="00BE1BCD">
        <w:t>（</w:t>
      </w:r>
      <w:r w:rsidRPr="00BE1BCD">
        <w:t>2</w:t>
      </w:r>
      <w:r w:rsidRPr="00BE1BCD">
        <w:t>）</w:t>
      </w:r>
      <w:r>
        <w:t>被自身呼吸作用消耗</w:t>
      </w:r>
      <w:r w:rsidRPr="00BE1BCD">
        <w:t xml:space="preserve">    </w:t>
      </w:r>
    </w:p>
    <w:p w:rsidR="001046EC" w:rsidRDefault="00B45532">
      <w:pPr>
        <w:spacing w:line="360" w:lineRule="auto"/>
        <w:jc w:val="left"/>
        <w:textAlignment w:val="center"/>
      </w:pPr>
      <w:r w:rsidRPr="00BE1BCD">
        <w:t>（</w:t>
      </w:r>
      <w:r w:rsidRPr="00BE1BCD">
        <w:t>3</w:t>
      </w:r>
      <w:r w:rsidRPr="00BE1BCD">
        <w:t>）</w:t>
      </w:r>
      <w:r>
        <w:t>危害植物的植食性线虫数量和比例大幅降低，湿地松受取食压力小，生长优势强、新环境没有专门抑制其生长的天敌，资源充足</w:t>
      </w:r>
      <w:r w:rsidRPr="00BE1BCD">
        <w:t xml:space="preserve">    </w:t>
      </w:r>
    </w:p>
    <w:p w:rsidR="001046EC" w:rsidRDefault="00B45532">
      <w:pPr>
        <w:spacing w:line="360" w:lineRule="auto"/>
        <w:jc w:val="left"/>
        <w:textAlignment w:val="center"/>
      </w:pPr>
      <w:r w:rsidRPr="00BE1BCD">
        <w:t>（</w:t>
      </w:r>
      <w:r w:rsidRPr="00BE1BCD">
        <w:t>4</w:t>
      </w:r>
      <w:r w:rsidRPr="00BE1BCD">
        <w:t>）</w:t>
      </w:r>
      <w:r>
        <w:t>降低</w:t>
      </w:r>
      <w:r w:rsidRPr="00BE1BCD">
        <w:t xml:space="preserve">    </w:t>
      </w:r>
      <w:r w:rsidRPr="00BE1BCD">
        <w:t xml:space="preserve"> </w:t>
      </w:r>
      <w:r>
        <w:t>物种丰富度降低，生态系统的营养结构变简单，自我调节能力下降</w:t>
      </w:r>
    </w:p>
    <w:p w:rsidR="001046EC" w:rsidRDefault="00B45532">
      <w:pPr>
        <w:spacing w:line="360" w:lineRule="auto"/>
        <w:jc w:val="left"/>
        <w:textAlignment w:val="center"/>
      </w:pPr>
      <w:r>
        <w:t>19.</w:t>
      </w:r>
      <w:r w:rsidRPr="00BE1BCD">
        <w:t>（</w:t>
      </w:r>
      <w:r w:rsidRPr="00BE1BCD">
        <w:t>1</w:t>
      </w:r>
      <w:r w:rsidRPr="00BE1BCD">
        <w:t>）</w:t>
      </w:r>
      <w:r>
        <w:t>由一对等位基因控制，株高</w:t>
      </w:r>
      <w:r>
        <w:t>140 cm</w:t>
      </w:r>
      <w:r>
        <w:t>为显性性状，</w:t>
      </w:r>
      <w:r>
        <w:t>100cm</w:t>
      </w:r>
      <w:r>
        <w:t>隐性性状</w:t>
      </w:r>
      <w:r w:rsidRPr="00BE1BCD">
        <w:t xml:space="preserve">    </w:t>
      </w:r>
    </w:p>
    <w:p w:rsidR="001046EC" w:rsidRDefault="00B45532">
      <w:pPr>
        <w:spacing w:line="360" w:lineRule="auto"/>
        <w:jc w:val="left"/>
        <w:textAlignment w:val="center"/>
      </w:pPr>
      <w:r w:rsidRPr="00BE1BCD">
        <w:t>（</w:t>
      </w:r>
      <w:r w:rsidRPr="00BE1BCD">
        <w:t>2</w:t>
      </w:r>
      <w:r w:rsidRPr="00BE1BCD">
        <w:t>）</w:t>
      </w:r>
      <w:r>
        <w:t>266</w:t>
      </w:r>
      <w:r w:rsidRPr="00BE1BCD">
        <w:t xml:space="preserve">    </w:t>
      </w:r>
      <w:r w:rsidRPr="00BE1BCD">
        <w:t xml:space="preserve"> </w:t>
      </w:r>
      <w:r>
        <w:t>苯丙氨酸</w:t>
      </w:r>
      <w:r w:rsidRPr="00BE1BCD">
        <w:t xml:space="preserve">    </w:t>
      </w:r>
      <w:r w:rsidRPr="00BE1BCD">
        <w:t xml:space="preserve"> </w:t>
      </w:r>
      <w:r>
        <w:rPr>
          <w:rFonts w:eastAsia="Times New Roman" w:cs="Times New Roman"/>
        </w:rPr>
        <w:t>Ⅱ和Ⅲ</w:t>
      </w:r>
      <w:r w:rsidRPr="00BE1BCD">
        <w:t xml:space="preserve">    </w:t>
      </w:r>
    </w:p>
    <w:p w:rsidR="001046EC" w:rsidRDefault="00B45532">
      <w:pPr>
        <w:spacing w:line="360" w:lineRule="auto"/>
        <w:jc w:val="left"/>
        <w:textAlignment w:val="center"/>
      </w:pPr>
      <w:r w:rsidRPr="00BE1BCD">
        <w:t>（</w:t>
      </w:r>
      <w:r w:rsidRPr="00BE1BCD">
        <w:t>3</w:t>
      </w:r>
      <w:r w:rsidRPr="00BE1BCD">
        <w:t>）</w:t>
      </w:r>
      <w:proofErr w:type="spellStart"/>
      <w:r>
        <w:t>aabb</w:t>
      </w:r>
      <w:proofErr w:type="spellEnd"/>
      <w:r w:rsidRPr="00BE1BCD">
        <w:t xml:space="preserve">    </w:t>
      </w:r>
      <w:r w:rsidRPr="00BE1BCD">
        <w:t xml:space="preserve"> </w:t>
      </w:r>
      <w:r>
        <w:t>两对等位基因位于两对同源染色体上</w:t>
      </w:r>
      <w:r w:rsidRPr="00BE1BCD">
        <w:t xml:space="preserve">    </w:t>
      </w:r>
      <w:r w:rsidRPr="00BE1BCD">
        <w:t xml:space="preserve"> </w:t>
      </w:r>
      <w:r>
        <w:t>甲乙突变可能是同一基因不同位点的突变，形成复等位基因，</w:t>
      </w:r>
      <w:proofErr w:type="gramStart"/>
      <w:r>
        <w:t>且甲突变</w:t>
      </w:r>
      <w:proofErr w:type="gramEnd"/>
      <w:r>
        <w:t>的结果对乙的是显性</w:t>
      </w:r>
    </w:p>
    <w:p w:rsidR="001046EC" w:rsidRDefault="00B45532">
      <w:pPr>
        <w:spacing w:line="360" w:lineRule="auto"/>
        <w:jc w:val="left"/>
        <w:textAlignment w:val="center"/>
      </w:pPr>
      <w:r>
        <w:t>20.</w:t>
      </w:r>
      <w:r w:rsidRPr="00BE1BCD">
        <w:t>（</w:t>
      </w:r>
      <w:r w:rsidRPr="00BE1BCD">
        <w:t>1</w:t>
      </w:r>
      <w:r w:rsidRPr="00BE1BCD">
        <w:t>）</w:t>
      </w:r>
      <w:r>
        <w:t>胸腺</w:t>
      </w:r>
      <w:r w:rsidRPr="00BE1BCD">
        <w:t xml:space="preserve">    </w:t>
      </w:r>
      <w:r w:rsidRPr="00BE1BCD">
        <w:t xml:space="preserve"> </w:t>
      </w:r>
      <w:r>
        <w:t>诱导小鼠肺部产生过敏性炎症反应</w:t>
      </w:r>
      <w:r w:rsidRPr="00BE1BCD">
        <w:t xml:space="preserve">    </w:t>
      </w:r>
    </w:p>
    <w:p w:rsidR="001046EC" w:rsidRDefault="00B45532">
      <w:pPr>
        <w:spacing w:line="360" w:lineRule="auto"/>
        <w:jc w:val="left"/>
        <w:textAlignment w:val="center"/>
      </w:pPr>
      <w:r w:rsidRPr="00BE1BCD">
        <w:t>（</w:t>
      </w:r>
      <w:r w:rsidRPr="00BE1BCD">
        <w:t>2</w:t>
      </w:r>
      <w:r w:rsidRPr="00BE1BCD">
        <w:t>）</w:t>
      </w:r>
      <w:r>
        <w:t>OVA</w:t>
      </w:r>
      <w:r>
        <w:t>特异性</w:t>
      </w:r>
      <w:r>
        <w:t>T</w:t>
      </w:r>
      <w:r>
        <w:t>细胞受体</w:t>
      </w:r>
      <w:r w:rsidRPr="00BE1BCD">
        <w:t xml:space="preserve">    </w:t>
      </w:r>
      <w:r w:rsidRPr="00BE1BCD">
        <w:t xml:space="preserve"> </w:t>
      </w:r>
      <w:r>
        <w:t>TGM1-IL-2</w:t>
      </w:r>
      <w:r>
        <w:t>融合蛋白可以促进静息辅助性</w:t>
      </w:r>
      <w:r>
        <w:t>T</w:t>
      </w:r>
      <w:r>
        <w:t>细胞分化为</w:t>
      </w:r>
      <w:r>
        <w:t>Treg</w:t>
      </w:r>
      <w:r>
        <w:t>细胞，可</w:t>
      </w:r>
      <w:r>
        <w:lastRenderedPageBreak/>
        <w:t>以增强</w:t>
      </w:r>
      <w:r>
        <w:t>Treg</w:t>
      </w:r>
      <w:r>
        <w:t>细胞</w:t>
      </w:r>
      <w:proofErr w:type="gramStart"/>
      <w:r>
        <w:t>介</w:t>
      </w:r>
      <w:proofErr w:type="gramEnd"/>
      <w:r>
        <w:t>导的肺部过敏性炎症抵抗的作用</w:t>
      </w:r>
      <w:r w:rsidRPr="00BE1BCD">
        <w:t xml:space="preserve">    </w:t>
      </w:r>
    </w:p>
    <w:p w:rsidR="001046EC" w:rsidRDefault="00B45532">
      <w:pPr>
        <w:spacing w:line="360" w:lineRule="auto"/>
        <w:jc w:val="left"/>
        <w:textAlignment w:val="center"/>
      </w:pPr>
      <w:r w:rsidRPr="00BE1BCD">
        <w:t>（</w:t>
      </w:r>
      <w:r w:rsidRPr="00BE1BCD">
        <w:t>3</w:t>
      </w:r>
      <w:r w:rsidRPr="00BE1BCD">
        <w:t>）</w:t>
      </w:r>
      <w:r>
        <w:t>等量的</w:t>
      </w:r>
      <w:r>
        <w:t>TGM1</w:t>
      </w:r>
      <w:r>
        <w:t>、</w:t>
      </w:r>
      <w:r>
        <w:t>IL-2</w:t>
      </w:r>
      <w:r>
        <w:t>、</w:t>
      </w:r>
      <w:r>
        <w:t>TGM1</w:t>
      </w:r>
      <w:r>
        <w:t>和</w:t>
      </w:r>
      <w:r>
        <w:t>IL-2</w:t>
      </w:r>
      <w:r w:rsidRPr="00BE1BCD">
        <w:t xml:space="preserve">    </w:t>
      </w:r>
    </w:p>
    <w:p w:rsidR="001046EC" w:rsidRDefault="00B45532">
      <w:pPr>
        <w:spacing w:line="360" w:lineRule="auto"/>
        <w:jc w:val="left"/>
        <w:textAlignment w:val="center"/>
      </w:pPr>
      <w:r w:rsidRPr="00BE1BCD">
        <w:t>（</w:t>
      </w:r>
      <w:r w:rsidRPr="00BE1BCD">
        <w:t>4</w:t>
      </w:r>
      <w:r w:rsidRPr="00BE1BCD">
        <w:t>）</w:t>
      </w:r>
      <w:r>
        <w:t>IL-2</w:t>
      </w:r>
      <w:r>
        <w:t>向细胞内传递信号的能力</w:t>
      </w:r>
    </w:p>
    <w:p w:rsidR="00142D2F" w:rsidRDefault="00B45532">
      <w:pPr>
        <w:spacing w:line="360" w:lineRule="auto"/>
        <w:jc w:val="left"/>
        <w:textAlignment w:val="center"/>
      </w:pPr>
      <w:r>
        <w:t>21.</w:t>
      </w:r>
      <w:r w:rsidRPr="00BE1BCD">
        <w:t>（</w:t>
      </w:r>
      <w:r w:rsidRPr="00BE1BCD">
        <w:t>1</w:t>
      </w:r>
      <w:r w:rsidRPr="00BE1BCD">
        <w:t>）</w:t>
      </w:r>
      <w:r>
        <w:t>抗体</w:t>
      </w:r>
      <w:r w:rsidRPr="00BE1BCD">
        <w:t xml:space="preserve">    </w:t>
      </w:r>
      <w:r w:rsidRPr="00BE1BCD">
        <w:t xml:space="preserve"> </w:t>
      </w:r>
      <w:r>
        <w:t>使其在星形胶质细胞中特异性表达</w:t>
      </w:r>
      <w:r w:rsidRPr="00BE1BCD">
        <w:t xml:space="preserve">    </w:t>
      </w:r>
      <w:r w:rsidRPr="00BE1BCD">
        <w:t xml:space="preserve"> </w:t>
      </w:r>
      <w:proofErr w:type="spellStart"/>
      <w:r>
        <w:rPr>
          <w:rFonts w:eastAsia="Times New Roman" w:cs="Times New Roman"/>
        </w:rPr>
        <w:t>KpnⅠ</w:t>
      </w:r>
      <w:proofErr w:type="spellEnd"/>
      <w:r>
        <w:t>和</w:t>
      </w:r>
      <w:proofErr w:type="spellStart"/>
      <w:r>
        <w:t>BamHⅠ</w:t>
      </w:r>
      <w:proofErr w:type="spellEnd"/>
    </w:p>
    <w:p w:rsidR="001046EC" w:rsidRDefault="00B45532">
      <w:pPr>
        <w:spacing w:line="360" w:lineRule="auto"/>
        <w:jc w:val="left"/>
        <w:textAlignment w:val="center"/>
      </w:pPr>
      <w:r w:rsidRPr="00BE1BCD">
        <w:t>（</w:t>
      </w:r>
      <w:r w:rsidRPr="00BE1BCD">
        <w:t>2</w:t>
      </w:r>
      <w:r w:rsidRPr="00BE1BCD">
        <w:t>）</w:t>
      </w:r>
      <w:r w:rsidRPr="00BE1BCD">
        <w:t>C</w:t>
      </w:r>
      <w:bookmarkStart w:id="0" w:name="_GoBack"/>
      <w:bookmarkEnd w:id="0"/>
    </w:p>
    <w:p w:rsidR="001046EC" w:rsidRDefault="00B45532">
      <w:pPr>
        <w:spacing w:line="360" w:lineRule="auto"/>
        <w:jc w:val="left"/>
        <w:textAlignment w:val="center"/>
      </w:pPr>
      <w:r w:rsidRPr="00BE1BCD">
        <w:t>（</w:t>
      </w:r>
      <w:r w:rsidRPr="00BE1BCD">
        <w:t>3</w:t>
      </w:r>
      <w:r w:rsidRPr="00BE1BCD">
        <w:t>）</w:t>
      </w:r>
      <w:r>
        <w:t>携带空载体（或不携带</w:t>
      </w:r>
      <w:r>
        <w:t>CAR</w:t>
      </w:r>
      <w:r>
        <w:t>基因或仅携带</w:t>
      </w:r>
      <w:r>
        <w:t>GFP</w:t>
      </w:r>
      <w:r>
        <w:t>基因）的等量病毒</w:t>
      </w:r>
      <w:r w:rsidRPr="00BE1BCD">
        <w:t xml:space="preserve">    </w:t>
      </w:r>
      <w:r w:rsidRPr="00BE1BCD">
        <w:t xml:space="preserve"> </w:t>
      </w:r>
      <w:r>
        <w:t>在星形胶质细胞中特异性表达</w:t>
      </w:r>
      <w:r>
        <w:t>CAR</w:t>
      </w:r>
      <w:r>
        <w:t>基因（</w:t>
      </w:r>
      <w:r>
        <w:t>CAR-A</w:t>
      </w:r>
      <w:r>
        <w:t>疗法）能够有效清除阿尔茨海默病模型小鼠大脑中的</w:t>
      </w:r>
      <w:r>
        <w:t>Aβ</w:t>
      </w:r>
      <w:r>
        <w:t>聚集体，并显著减轻相关的神经元损伤。</w:t>
      </w:r>
    </w:p>
    <w:sectPr w:rsidR="001046EC" w:rsidSect="00C321EB">
      <w:footerReference w:type="default" r:id="rId10"/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532" w:rsidRDefault="00B45532">
      <w:r>
        <w:separator/>
      </w:r>
    </w:p>
  </w:endnote>
  <w:endnote w:type="continuationSeparator" w:id="0">
    <w:p w:rsidR="00B45532" w:rsidRDefault="00B45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6EC" w:rsidRDefault="00B45532">
    <w:pPr>
      <w:pStyle w:val="Footer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046EC" w:rsidRDefault="00B45532">
                          <w:pPr>
                            <w:pStyle w:val="Footer0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142D2F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 w:rsidR="00142D2F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1046EC" w:rsidRDefault="00B45532">
                    <w:pPr>
                      <w:pStyle w:val="Footer0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142D2F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 w:rsidR="00142D2F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532" w:rsidRDefault="00B45532">
      <w:r>
        <w:separator/>
      </w:r>
    </w:p>
  </w:footnote>
  <w:footnote w:type="continuationSeparator" w:id="0">
    <w:p w:rsidR="00B45532" w:rsidRDefault="00B455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F473A"/>
    <w:multiLevelType w:val="hybridMultilevel"/>
    <w:tmpl w:val="8312AF28"/>
    <w:lvl w:ilvl="0" w:tplc="4B4AB9E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55B20F46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E80CF0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41690D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9665B00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BEE738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2E528F1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3F0C0CFA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3B849496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046EC"/>
    <w:rsid w:val="00142D2F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45532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  <w:style w:type="paragraph" w:customStyle="1" w:styleId="Footer0">
    <w:name w:val="Footer_0"/>
    <w:basedOn w:val="a"/>
    <w:pPr>
      <w:tabs>
        <w:tab w:val="center" w:pos="4153"/>
        <w:tab w:val="right" w:pos="8306"/>
      </w:tabs>
      <w:snapToGrid w:val="0"/>
      <w:spacing w:line="360" w:lineRule="auto"/>
      <w:jc w:val="left"/>
    </w:pPr>
    <w:rPr>
      <w:rFonts w:cstheme="minorBid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95BA7-03AC-489C-B861-CB928AD74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1</cp:revision>
  <dcterms:created xsi:type="dcterms:W3CDTF">2026-06-24T02:48:00Z</dcterms:created>
  <dcterms:modified xsi:type="dcterms:W3CDTF">2026-06-24T02:50:00Z</dcterms:modified>
</cp:coreProperties>
</file>